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C78" w:rsidRPr="002F3C78" w:rsidRDefault="002F3C78" w:rsidP="002F3C78">
      <w:pPr>
        <w:jc w:val="center"/>
        <w:rPr>
          <w:rFonts w:ascii="Times New Roman" w:eastAsia="Calibri" w:hAnsi="Times New Roman" w:cs="Times New Roman"/>
          <w:b/>
          <w:sz w:val="24"/>
          <w:szCs w:val="24"/>
          <w:lang w:val="fr-FR"/>
        </w:rPr>
      </w:pPr>
      <w:r w:rsidRPr="002F3C78">
        <w:rPr>
          <w:rFonts w:ascii="Times New Roman" w:eastAsia="Calibri" w:hAnsi="Times New Roman" w:cs="Times New Roman"/>
          <w:b/>
          <w:sz w:val="24"/>
          <w:szCs w:val="24"/>
          <w:lang w:val="fr-FR"/>
        </w:rPr>
        <w:t>ORGANISATION MONDIALE DU COMMERCE</w:t>
      </w:r>
    </w:p>
    <w:p w:rsidR="002F3C78" w:rsidRPr="002F3C78" w:rsidRDefault="002F3C78" w:rsidP="002F3C78">
      <w:pPr>
        <w:jc w:val="both"/>
        <w:rPr>
          <w:rFonts w:ascii="Times New Roman" w:eastAsia="Calibri" w:hAnsi="Times New Roman" w:cs="Times New Roman"/>
          <w:sz w:val="24"/>
          <w:szCs w:val="24"/>
          <w:lang w:val="fr-FR"/>
        </w:rPr>
      </w:pPr>
      <w:r w:rsidRPr="002F3C78">
        <w:rPr>
          <w:rFonts w:ascii="Times New Roman" w:eastAsia="Calibri" w:hAnsi="Times New Roman" w:cs="Times New Roman"/>
          <w:sz w:val="24"/>
          <w:szCs w:val="24"/>
          <w:lang w:val="fr-FR"/>
        </w:rPr>
        <w:t xml:space="preserve">L'Organisation mondiale du commerce (OMC) se présente comme la seule organisation internationale qui s'occupe des règles régissant le commerce entre les pays. Au cœur de l'organisation se trouvent les Accords de l'OMC, négociés et signés (à Marrakech) par la majeure partie des puissances commerciales du monde et ratifiés par leurs parlements. Le but est d'aider, par la réduction d'obstacles au libre-échange, les producteurs de marchandises et de services, les exportateurs et les importateurs à mener leurs activités. </w:t>
      </w:r>
    </w:p>
    <w:p w:rsidR="002F3C78" w:rsidRPr="002F3C78" w:rsidRDefault="002F3C78" w:rsidP="002F3C78">
      <w:pPr>
        <w:jc w:val="both"/>
        <w:rPr>
          <w:rFonts w:ascii="Times New Roman" w:eastAsia="Calibri" w:hAnsi="Times New Roman" w:cs="Times New Roman"/>
          <w:sz w:val="24"/>
          <w:szCs w:val="24"/>
          <w:lang w:val="fr-FR"/>
        </w:rPr>
      </w:pPr>
      <w:r w:rsidRPr="002F3C78">
        <w:rPr>
          <w:rFonts w:ascii="Times New Roman" w:eastAsia="Calibri" w:hAnsi="Times New Roman" w:cs="Times New Roman"/>
          <w:sz w:val="24"/>
          <w:szCs w:val="24"/>
          <w:lang w:val="fr-FR"/>
        </w:rPr>
        <w:t>L'OMC regroupe des observateurs et des membres. Les observateurs peuvent être des États (comme l'Algérie et Andorre), mais aussi des organisations internationales (comme les Nations unies, la Banque mondiale, l'OCDE). Les membres peuvent être des États ou des organisations comme l'Union européennequi possède aussi un statut de membre. L'OMC comptait 150 pays au 07 novembre 2006. Le membre le plus récent est le Vietnam.</w:t>
      </w:r>
    </w:p>
    <w:p w:rsidR="002F3C78" w:rsidRPr="002F3C78" w:rsidRDefault="002F3C78" w:rsidP="002F3C78">
      <w:pPr>
        <w:jc w:val="both"/>
        <w:rPr>
          <w:rFonts w:ascii="Times New Roman" w:eastAsia="Calibri" w:hAnsi="Times New Roman" w:cs="Times New Roman"/>
          <w:b/>
          <w:i/>
          <w:sz w:val="24"/>
          <w:szCs w:val="24"/>
          <w:lang w:val="fr-FR"/>
        </w:rPr>
      </w:pPr>
      <w:r w:rsidRPr="002F3C78">
        <w:rPr>
          <w:rFonts w:ascii="Times New Roman" w:eastAsia="Calibri" w:hAnsi="Times New Roman" w:cs="Times New Roman"/>
          <w:b/>
          <w:i/>
          <w:sz w:val="24"/>
          <w:szCs w:val="24"/>
          <w:lang w:val="fr-FR"/>
        </w:rPr>
        <w:t xml:space="preserve">Histoire </w:t>
      </w:r>
    </w:p>
    <w:p w:rsidR="002F3C78" w:rsidRPr="002F3C78" w:rsidRDefault="002F3C78" w:rsidP="002F3C78">
      <w:pPr>
        <w:jc w:val="both"/>
        <w:rPr>
          <w:rFonts w:ascii="Times New Roman" w:eastAsia="Calibri" w:hAnsi="Times New Roman" w:cs="Times New Roman"/>
          <w:sz w:val="24"/>
          <w:szCs w:val="24"/>
          <w:lang w:val="fr-FR"/>
        </w:rPr>
      </w:pPr>
      <w:r w:rsidRPr="002F3C78">
        <w:rPr>
          <w:rFonts w:ascii="Times New Roman" w:eastAsia="Calibri" w:hAnsi="Times New Roman" w:cs="Times New Roman"/>
          <w:sz w:val="24"/>
          <w:szCs w:val="24"/>
          <w:lang w:val="fr-FR"/>
        </w:rPr>
        <w:t xml:space="preserve">L'OMC est née le 1er janvier 1995, mais le système commercial qu'elle représente a presque un demi-siècle de plus. En 1947, l'Accord général sur les tarifs douaniers et le commerce (GATT: General Agreement on Tariffs and Trade) établissait les règles du système, dont le cinquantième anniversaire a été commémoré lors de la deuxième réunion ministérielle de l'OMC, qui s'est tenue à Genève en mai 1998. </w:t>
      </w:r>
    </w:p>
    <w:p w:rsidR="002F3C78" w:rsidRPr="002F3C78" w:rsidRDefault="002F3C78" w:rsidP="002F3C78">
      <w:pPr>
        <w:jc w:val="both"/>
        <w:rPr>
          <w:rFonts w:ascii="Times New Roman" w:eastAsia="Calibri" w:hAnsi="Times New Roman" w:cs="Times New Roman"/>
          <w:sz w:val="24"/>
          <w:szCs w:val="24"/>
          <w:lang w:val="fr-FR"/>
        </w:rPr>
      </w:pPr>
      <w:r w:rsidRPr="002F3C78">
        <w:rPr>
          <w:rFonts w:ascii="Times New Roman" w:eastAsia="Calibri" w:hAnsi="Times New Roman" w:cs="Times New Roman"/>
          <w:sz w:val="24"/>
          <w:szCs w:val="24"/>
          <w:lang w:val="fr-FR"/>
        </w:rPr>
        <w:t xml:space="preserve">L'Accord général a rapidement donné naissance à une organisation internationale officieuse, existant de fait et aussi dénommée officieusement GATT, qui a évolué au fil des ans à travers plusieurs cycles (ou rounds) de négociation. </w:t>
      </w:r>
    </w:p>
    <w:p w:rsidR="002F3C78" w:rsidRPr="002F3C78" w:rsidRDefault="002F3C78" w:rsidP="002F3C78">
      <w:pPr>
        <w:jc w:val="both"/>
        <w:rPr>
          <w:rFonts w:ascii="Times New Roman" w:eastAsia="Calibri" w:hAnsi="Times New Roman" w:cs="Times New Roman"/>
          <w:sz w:val="24"/>
          <w:szCs w:val="24"/>
          <w:lang w:val="fr-FR"/>
        </w:rPr>
      </w:pPr>
      <w:r w:rsidRPr="002F3C78">
        <w:rPr>
          <w:rFonts w:ascii="Times New Roman" w:eastAsia="Calibri" w:hAnsi="Times New Roman" w:cs="Times New Roman"/>
          <w:sz w:val="24"/>
          <w:szCs w:val="24"/>
          <w:lang w:val="fr-FR"/>
        </w:rPr>
        <w:t>Le sommet de Cancun de 2003 a été marqué par une alliance de pays du tiersmonde contre les projets de libéralisation des services qui étaient sur la table des négociations. Cette alliance visait à obtenir de la part des pays riches une modification de leurs politiques agricoles et a abouti, face au refus de ceux-ci, à l'échec des négociations.</w:t>
      </w:r>
    </w:p>
    <w:p w:rsidR="002F3C78" w:rsidRPr="002F3C78" w:rsidRDefault="002F3C78" w:rsidP="002F3C78">
      <w:pPr>
        <w:jc w:val="both"/>
        <w:rPr>
          <w:rFonts w:ascii="Times New Roman" w:eastAsia="Calibri" w:hAnsi="Times New Roman" w:cs="Times New Roman"/>
          <w:b/>
          <w:i/>
          <w:sz w:val="24"/>
          <w:szCs w:val="24"/>
          <w:lang w:val="fr-FR"/>
        </w:rPr>
      </w:pPr>
      <w:r w:rsidRPr="002F3C78">
        <w:rPr>
          <w:rFonts w:ascii="Times New Roman" w:eastAsia="Calibri" w:hAnsi="Times New Roman" w:cs="Times New Roman"/>
          <w:b/>
          <w:i/>
          <w:sz w:val="24"/>
          <w:szCs w:val="24"/>
          <w:lang w:val="fr-FR"/>
        </w:rPr>
        <w:t xml:space="preserve">Sommets de l'OMC </w:t>
      </w:r>
    </w:p>
    <w:p w:rsidR="002F3C78" w:rsidRPr="002F3C78" w:rsidRDefault="002F3C78" w:rsidP="002F3C78">
      <w:pPr>
        <w:jc w:val="both"/>
        <w:rPr>
          <w:rFonts w:ascii="Times New Roman" w:eastAsia="Calibri" w:hAnsi="Times New Roman" w:cs="Times New Roman"/>
          <w:sz w:val="24"/>
          <w:szCs w:val="24"/>
          <w:lang w:val="fr-FR"/>
        </w:rPr>
      </w:pPr>
      <w:r w:rsidRPr="002F3C78">
        <w:rPr>
          <w:rFonts w:ascii="Times New Roman" w:eastAsia="Calibri" w:hAnsi="Times New Roman" w:cs="Times New Roman"/>
          <w:sz w:val="24"/>
          <w:szCs w:val="24"/>
          <w:lang w:val="fr-FR"/>
        </w:rPr>
        <w:t xml:space="preserve">1996: 1a conférence ministérielle – Singapour </w:t>
      </w:r>
    </w:p>
    <w:p w:rsidR="002F3C78" w:rsidRPr="002F3C78" w:rsidRDefault="002F3C78" w:rsidP="002F3C78">
      <w:pPr>
        <w:jc w:val="both"/>
        <w:rPr>
          <w:rFonts w:ascii="Times New Roman" w:eastAsia="Calibri" w:hAnsi="Times New Roman" w:cs="Times New Roman"/>
          <w:sz w:val="24"/>
          <w:szCs w:val="24"/>
          <w:lang w:val="fr-FR"/>
        </w:rPr>
      </w:pPr>
      <w:r w:rsidRPr="002F3C78">
        <w:rPr>
          <w:rFonts w:ascii="Times New Roman" w:eastAsia="Calibri" w:hAnsi="Times New Roman" w:cs="Times New Roman"/>
          <w:sz w:val="24"/>
          <w:szCs w:val="24"/>
          <w:lang w:val="fr-FR"/>
        </w:rPr>
        <w:t xml:space="preserve">A cette première rencontre, il a été décidé de créer trois nouveaux groupes de travail. Un sur le commerce et l'investissement, un sur l'interaction du commerce et de la politique de la concurrence et un sur la transparence des marchés publics. Ces sujets sont généralement désignés sous le nom de «questions de Singapour». </w:t>
      </w:r>
    </w:p>
    <w:p w:rsidR="002F3C78" w:rsidRPr="002F3C78" w:rsidRDefault="002F3C78" w:rsidP="002F3C78">
      <w:pPr>
        <w:jc w:val="both"/>
        <w:rPr>
          <w:rFonts w:ascii="Times New Roman" w:eastAsia="Calibri" w:hAnsi="Times New Roman" w:cs="Times New Roman"/>
          <w:sz w:val="24"/>
          <w:szCs w:val="24"/>
          <w:lang w:val="fr-FR"/>
        </w:rPr>
      </w:pPr>
      <w:r w:rsidRPr="002F3C78">
        <w:rPr>
          <w:rFonts w:ascii="Times New Roman" w:eastAsia="Calibri" w:hAnsi="Times New Roman" w:cs="Times New Roman"/>
          <w:sz w:val="24"/>
          <w:szCs w:val="24"/>
          <w:lang w:val="fr-FR"/>
        </w:rPr>
        <w:t xml:space="preserve">1998: 2e conférence ministérielle – Genève </w:t>
      </w:r>
    </w:p>
    <w:p w:rsidR="002F3C78" w:rsidRPr="002F3C78" w:rsidRDefault="002F3C78" w:rsidP="002F3C78">
      <w:pPr>
        <w:jc w:val="both"/>
        <w:rPr>
          <w:rFonts w:ascii="Times New Roman" w:eastAsia="Calibri" w:hAnsi="Times New Roman" w:cs="Times New Roman"/>
          <w:sz w:val="24"/>
          <w:szCs w:val="24"/>
          <w:lang w:val="fr-FR"/>
        </w:rPr>
      </w:pPr>
      <w:r w:rsidRPr="002F3C78">
        <w:rPr>
          <w:rFonts w:ascii="Times New Roman" w:eastAsia="Calibri" w:hAnsi="Times New Roman" w:cs="Times New Roman"/>
          <w:sz w:val="24"/>
          <w:szCs w:val="24"/>
          <w:lang w:val="fr-FR"/>
        </w:rPr>
        <w:t xml:space="preserve">Le commerce électronique est ajouté au programme de travail de l'OMC. </w:t>
      </w:r>
    </w:p>
    <w:p w:rsidR="002F3C78" w:rsidRPr="002F3C78" w:rsidRDefault="002F3C78" w:rsidP="002F3C78">
      <w:pPr>
        <w:jc w:val="both"/>
        <w:rPr>
          <w:rFonts w:ascii="Times New Roman" w:eastAsia="Calibri" w:hAnsi="Times New Roman" w:cs="Times New Roman"/>
          <w:sz w:val="24"/>
          <w:szCs w:val="24"/>
          <w:lang w:val="fr-FR"/>
        </w:rPr>
      </w:pPr>
      <w:r w:rsidRPr="002F3C78">
        <w:rPr>
          <w:rFonts w:ascii="Times New Roman" w:eastAsia="Calibri" w:hAnsi="Times New Roman" w:cs="Times New Roman"/>
          <w:sz w:val="24"/>
          <w:szCs w:val="24"/>
          <w:lang w:val="fr-FR"/>
        </w:rPr>
        <w:t xml:space="preserve">1999: 3e conférence ministérielle – Seattle (États-Unis) </w:t>
      </w:r>
    </w:p>
    <w:p w:rsidR="002F3C78" w:rsidRPr="002F3C78" w:rsidRDefault="002F3C78" w:rsidP="002F3C78">
      <w:pPr>
        <w:jc w:val="both"/>
        <w:rPr>
          <w:rFonts w:ascii="Times New Roman" w:eastAsia="Calibri" w:hAnsi="Times New Roman" w:cs="Times New Roman"/>
          <w:sz w:val="24"/>
          <w:szCs w:val="24"/>
          <w:lang w:val="fr-FR"/>
        </w:rPr>
      </w:pPr>
      <w:r w:rsidRPr="002F3C78">
        <w:rPr>
          <w:rFonts w:ascii="Times New Roman" w:eastAsia="Calibri" w:hAnsi="Times New Roman" w:cs="Times New Roman"/>
          <w:sz w:val="24"/>
          <w:szCs w:val="24"/>
          <w:lang w:val="fr-FR"/>
        </w:rPr>
        <w:t xml:space="preserve">Cette réunion s'est conclue sur un échec, les délégations des cent trente cinq pays membres se séparant sans lancer le cycle du «millénaire». Les pays du Sud forment pour la première fois un bloc de négociation. </w:t>
      </w:r>
    </w:p>
    <w:p w:rsidR="002F3C78" w:rsidRPr="002F3C78" w:rsidRDefault="002F3C78" w:rsidP="002F3C78">
      <w:pPr>
        <w:jc w:val="both"/>
        <w:rPr>
          <w:rFonts w:ascii="Times New Roman" w:eastAsia="Calibri" w:hAnsi="Times New Roman" w:cs="Times New Roman"/>
          <w:sz w:val="24"/>
          <w:szCs w:val="24"/>
          <w:lang w:val="fr-FR"/>
        </w:rPr>
      </w:pPr>
      <w:r w:rsidRPr="002F3C78">
        <w:rPr>
          <w:rFonts w:ascii="Times New Roman" w:eastAsia="Calibri" w:hAnsi="Times New Roman" w:cs="Times New Roman"/>
          <w:sz w:val="24"/>
          <w:szCs w:val="24"/>
          <w:lang w:val="fr-FR"/>
        </w:rPr>
        <w:t xml:space="preserve">2001: 4e conférence ministérielle – Doha (Qatar), (voir aussi cycle de Doha et programme de Doha pour le développement) </w:t>
      </w:r>
    </w:p>
    <w:p w:rsidR="002F3C78" w:rsidRPr="002F3C78" w:rsidRDefault="002F3C78" w:rsidP="002F3C78">
      <w:pPr>
        <w:jc w:val="both"/>
        <w:rPr>
          <w:rFonts w:ascii="Times New Roman" w:eastAsia="Calibri" w:hAnsi="Times New Roman" w:cs="Times New Roman"/>
          <w:sz w:val="24"/>
          <w:szCs w:val="24"/>
          <w:lang w:val="fr-FR"/>
        </w:rPr>
      </w:pPr>
      <w:r w:rsidRPr="002F3C78">
        <w:rPr>
          <w:rFonts w:ascii="Times New Roman" w:eastAsia="Calibri" w:hAnsi="Times New Roman" w:cs="Times New Roman"/>
          <w:sz w:val="24"/>
          <w:szCs w:val="24"/>
          <w:lang w:val="fr-FR"/>
        </w:rPr>
        <w:lastRenderedPageBreak/>
        <w:t xml:space="preserve">Lancement d'un programme de négociations sur trois ans, comprenant notamment les services. La question de l'accès des pays les plus pauvres aux médicaments s'est trouvée au centre des discussions, ce qui permet leur ralliement au principe de l'ouverture d'un nouveau cycle. </w:t>
      </w:r>
    </w:p>
    <w:p w:rsidR="002F3C78" w:rsidRPr="002F3C78" w:rsidRDefault="002F3C78" w:rsidP="002F3C78">
      <w:pPr>
        <w:jc w:val="both"/>
        <w:rPr>
          <w:rFonts w:ascii="Times New Roman" w:eastAsia="Calibri" w:hAnsi="Times New Roman" w:cs="Times New Roman"/>
          <w:sz w:val="24"/>
          <w:szCs w:val="24"/>
          <w:lang w:val="fr-FR"/>
        </w:rPr>
      </w:pPr>
      <w:r w:rsidRPr="002F3C78">
        <w:rPr>
          <w:rFonts w:ascii="Times New Roman" w:eastAsia="Calibri" w:hAnsi="Times New Roman" w:cs="Times New Roman"/>
          <w:sz w:val="24"/>
          <w:szCs w:val="24"/>
          <w:lang w:val="fr-FR"/>
        </w:rPr>
        <w:t>2003: 5e conférence ministérielle – Cancún (Mexique).</w:t>
      </w:r>
    </w:p>
    <w:p w:rsidR="002F3C78" w:rsidRPr="002F3C78" w:rsidRDefault="002F3C78" w:rsidP="002F3C78">
      <w:pPr>
        <w:jc w:val="both"/>
        <w:rPr>
          <w:rFonts w:ascii="Times New Roman" w:eastAsia="Calibri" w:hAnsi="Times New Roman" w:cs="Times New Roman"/>
          <w:sz w:val="24"/>
          <w:szCs w:val="24"/>
          <w:lang w:val="fr-FR"/>
        </w:rPr>
      </w:pPr>
      <w:r w:rsidRPr="002F3C78">
        <w:rPr>
          <w:rFonts w:ascii="Times New Roman" w:eastAsia="Calibri" w:hAnsi="Times New Roman" w:cs="Times New Roman"/>
          <w:sz w:val="24"/>
          <w:szCs w:val="24"/>
          <w:lang w:val="fr-FR"/>
        </w:rPr>
        <w:t xml:space="preserve">Aucune position finale n'est adoptée, second échec en quatre ans, principalement à cause de l'opposition entre grandes puissances et G22 sur le dossier agricole. </w:t>
      </w:r>
    </w:p>
    <w:p w:rsidR="002F3C78" w:rsidRPr="002F3C78" w:rsidRDefault="002F3C78" w:rsidP="002F3C78">
      <w:pPr>
        <w:jc w:val="both"/>
        <w:rPr>
          <w:rFonts w:ascii="Times New Roman" w:eastAsia="Calibri" w:hAnsi="Times New Roman" w:cs="Times New Roman"/>
          <w:sz w:val="24"/>
          <w:szCs w:val="24"/>
          <w:lang w:val="fr-FR"/>
        </w:rPr>
      </w:pPr>
      <w:r w:rsidRPr="002F3C78">
        <w:rPr>
          <w:rFonts w:ascii="Times New Roman" w:eastAsia="Calibri" w:hAnsi="Times New Roman" w:cs="Times New Roman"/>
          <w:sz w:val="24"/>
          <w:szCs w:val="24"/>
          <w:lang w:val="fr-FR"/>
        </w:rPr>
        <w:t xml:space="preserve">2005: 6e conférence ministérielle – Hong-Kong. </w:t>
      </w:r>
    </w:p>
    <w:p w:rsidR="002F3C78" w:rsidRPr="002F3C78" w:rsidRDefault="002F3C78" w:rsidP="002F3C78">
      <w:pPr>
        <w:jc w:val="both"/>
        <w:rPr>
          <w:rFonts w:ascii="Times New Roman" w:eastAsia="Calibri" w:hAnsi="Times New Roman" w:cs="Times New Roman"/>
          <w:sz w:val="24"/>
          <w:szCs w:val="24"/>
          <w:lang w:val="fr-FR"/>
        </w:rPr>
      </w:pPr>
      <w:r w:rsidRPr="002F3C78">
        <w:rPr>
          <w:rFonts w:ascii="Times New Roman" w:eastAsia="Calibri" w:hAnsi="Times New Roman" w:cs="Times New Roman"/>
          <w:sz w:val="24"/>
          <w:szCs w:val="24"/>
          <w:lang w:val="fr-FR"/>
        </w:rPr>
        <w:t>Accord sur la suppression d'ici à 2013 des subventions aux exportations agricoles.</w:t>
      </w:r>
    </w:p>
    <w:p w:rsidR="002F3C78" w:rsidRPr="002F3C78" w:rsidRDefault="002F3C78" w:rsidP="002F3C78">
      <w:pPr>
        <w:jc w:val="both"/>
        <w:rPr>
          <w:rFonts w:ascii="Times New Roman" w:eastAsia="Calibri" w:hAnsi="Times New Roman" w:cs="Times New Roman"/>
          <w:b/>
          <w:i/>
          <w:sz w:val="24"/>
          <w:szCs w:val="24"/>
          <w:lang w:val="fr-FR"/>
        </w:rPr>
      </w:pPr>
      <w:r w:rsidRPr="002F3C78">
        <w:rPr>
          <w:rFonts w:ascii="Times New Roman" w:eastAsia="Calibri" w:hAnsi="Times New Roman" w:cs="Times New Roman"/>
          <w:b/>
          <w:i/>
          <w:sz w:val="24"/>
          <w:szCs w:val="24"/>
          <w:lang w:val="fr-FR"/>
        </w:rPr>
        <w:t xml:space="preserve">Fonctionnement </w:t>
      </w:r>
    </w:p>
    <w:p w:rsidR="002F3C78" w:rsidRPr="002F3C78" w:rsidRDefault="002F3C78" w:rsidP="002F3C78">
      <w:pPr>
        <w:jc w:val="both"/>
        <w:rPr>
          <w:rFonts w:ascii="Times New Roman" w:eastAsia="Calibri" w:hAnsi="Times New Roman" w:cs="Times New Roman"/>
          <w:sz w:val="24"/>
          <w:szCs w:val="24"/>
          <w:lang w:val="fr-FR"/>
        </w:rPr>
      </w:pPr>
      <w:r w:rsidRPr="002F3C78">
        <w:rPr>
          <w:rFonts w:ascii="Times New Roman" w:eastAsia="Calibri" w:hAnsi="Times New Roman" w:cs="Times New Roman"/>
          <w:sz w:val="24"/>
          <w:szCs w:val="24"/>
          <w:lang w:val="fr-FR"/>
        </w:rPr>
        <w:t xml:space="preserve">C'est avant tout un cadre de négociation. L'OMC est essentiellement un lieu où les gouvernements membres se rendent pour essayer de résoudre les problèmes commerciaux qui existent entre eux. La première étape consiste à discuter. </w:t>
      </w:r>
    </w:p>
    <w:p w:rsidR="002F3C78" w:rsidRPr="002F3C78" w:rsidRDefault="002F3C78" w:rsidP="002F3C78">
      <w:pPr>
        <w:jc w:val="both"/>
        <w:rPr>
          <w:rFonts w:ascii="Times New Roman" w:eastAsia="Calibri" w:hAnsi="Times New Roman" w:cs="Times New Roman"/>
          <w:sz w:val="24"/>
          <w:szCs w:val="24"/>
          <w:lang w:val="fr-FR"/>
        </w:rPr>
      </w:pPr>
      <w:r w:rsidRPr="002F3C78">
        <w:rPr>
          <w:rFonts w:ascii="Times New Roman" w:eastAsia="Calibri" w:hAnsi="Times New Roman" w:cs="Times New Roman"/>
          <w:sz w:val="24"/>
          <w:szCs w:val="24"/>
          <w:lang w:val="fr-FR"/>
        </w:rPr>
        <w:t xml:space="preserve">L'OMC est le fruit de négociations demandant des moyens importants pour pouvoir être suivies efficacement par les membres de l'organisation (juristes, experts, etc.). L'OMC s'est dotée d'un «pouvoir judiciaire», l'Organe de règlement des différends (ORD), auprès duquel les pays qui s'estiment lésés peuvent porter plainte. Au sein de l'organisation existent divers accords concernant l'ensemble des domaines liés au commerce: </w:t>
      </w:r>
    </w:p>
    <w:p w:rsidR="002F3C78" w:rsidRPr="002F3C78" w:rsidRDefault="002F3C78" w:rsidP="002F3C78">
      <w:pPr>
        <w:numPr>
          <w:ilvl w:val="0"/>
          <w:numId w:val="1"/>
        </w:numPr>
        <w:contextualSpacing/>
        <w:jc w:val="both"/>
        <w:rPr>
          <w:rFonts w:ascii="Times New Roman" w:eastAsia="Calibri" w:hAnsi="Times New Roman" w:cs="Times New Roman"/>
          <w:sz w:val="24"/>
          <w:szCs w:val="24"/>
          <w:lang w:val="fr-FR"/>
        </w:rPr>
      </w:pPr>
      <w:r w:rsidRPr="002F3C78">
        <w:rPr>
          <w:rFonts w:ascii="Times New Roman" w:eastAsia="Calibri" w:hAnsi="Times New Roman" w:cs="Times New Roman"/>
          <w:sz w:val="24"/>
          <w:szCs w:val="24"/>
          <w:lang w:val="fr-FR"/>
        </w:rPr>
        <w:t xml:space="preserve">Accord général sur les tarifs douaniers et le commerce (GATT), toujours en vigueur mais appelé désormais «GATT 1994». </w:t>
      </w:r>
    </w:p>
    <w:p w:rsidR="002F3C78" w:rsidRPr="002F3C78" w:rsidRDefault="002F3C78" w:rsidP="002F3C78">
      <w:pPr>
        <w:numPr>
          <w:ilvl w:val="0"/>
          <w:numId w:val="1"/>
        </w:numPr>
        <w:contextualSpacing/>
        <w:jc w:val="both"/>
        <w:rPr>
          <w:rFonts w:ascii="Times New Roman" w:eastAsia="Calibri" w:hAnsi="Times New Roman" w:cs="Times New Roman"/>
          <w:sz w:val="24"/>
          <w:szCs w:val="24"/>
          <w:lang w:val="fr-FR"/>
        </w:rPr>
      </w:pPr>
      <w:r w:rsidRPr="002F3C78">
        <w:rPr>
          <w:rFonts w:ascii="Times New Roman" w:eastAsia="Calibri" w:hAnsi="Times New Roman" w:cs="Times New Roman"/>
          <w:sz w:val="24"/>
          <w:szCs w:val="24"/>
          <w:lang w:val="fr-FR"/>
        </w:rPr>
        <w:t xml:space="preserve">Accord général sur le commerce des services (AGCS, en anglais GATS). </w:t>
      </w:r>
    </w:p>
    <w:p w:rsidR="002F3C78" w:rsidRPr="002F3C78" w:rsidRDefault="002F3C78" w:rsidP="002F3C78">
      <w:pPr>
        <w:numPr>
          <w:ilvl w:val="0"/>
          <w:numId w:val="1"/>
        </w:numPr>
        <w:contextualSpacing/>
        <w:jc w:val="both"/>
        <w:rPr>
          <w:rFonts w:ascii="Times New Roman" w:eastAsia="Calibri" w:hAnsi="Times New Roman" w:cs="Times New Roman"/>
          <w:sz w:val="24"/>
          <w:szCs w:val="24"/>
          <w:lang w:val="en-US"/>
        </w:rPr>
      </w:pPr>
      <w:r w:rsidRPr="002F3C78">
        <w:rPr>
          <w:rFonts w:ascii="Times New Roman" w:eastAsia="Calibri" w:hAnsi="Times New Roman" w:cs="Times New Roman"/>
          <w:sz w:val="24"/>
          <w:szCs w:val="24"/>
          <w:lang w:val="en-US"/>
        </w:rPr>
        <w:t xml:space="preserve">Accord sur </w:t>
      </w:r>
      <w:proofErr w:type="spellStart"/>
      <w:r w:rsidRPr="002F3C78">
        <w:rPr>
          <w:rFonts w:ascii="Times New Roman" w:eastAsia="Calibri" w:hAnsi="Times New Roman" w:cs="Times New Roman"/>
          <w:sz w:val="24"/>
          <w:szCs w:val="24"/>
          <w:lang w:val="en-US"/>
        </w:rPr>
        <w:t>l'agriculture</w:t>
      </w:r>
      <w:proofErr w:type="spellEnd"/>
      <w:r w:rsidRPr="002F3C78">
        <w:rPr>
          <w:rFonts w:ascii="Times New Roman" w:eastAsia="Calibri" w:hAnsi="Times New Roman" w:cs="Times New Roman"/>
          <w:sz w:val="24"/>
          <w:szCs w:val="24"/>
          <w:lang w:val="en-US"/>
        </w:rPr>
        <w:t xml:space="preserve">. </w:t>
      </w:r>
    </w:p>
    <w:p w:rsidR="002F3C78" w:rsidRPr="002F3C78" w:rsidRDefault="002F3C78" w:rsidP="002F3C78">
      <w:pPr>
        <w:numPr>
          <w:ilvl w:val="0"/>
          <w:numId w:val="1"/>
        </w:numPr>
        <w:contextualSpacing/>
        <w:jc w:val="both"/>
        <w:rPr>
          <w:rFonts w:ascii="Times New Roman" w:eastAsia="Calibri" w:hAnsi="Times New Roman" w:cs="Times New Roman"/>
          <w:sz w:val="24"/>
          <w:szCs w:val="24"/>
          <w:lang w:val="fr-FR"/>
        </w:rPr>
      </w:pPr>
      <w:r w:rsidRPr="002F3C78">
        <w:rPr>
          <w:rFonts w:ascii="Times New Roman" w:eastAsia="Calibri" w:hAnsi="Times New Roman" w:cs="Times New Roman"/>
          <w:sz w:val="24"/>
          <w:szCs w:val="24"/>
          <w:lang w:val="fr-FR"/>
        </w:rPr>
        <w:t xml:space="preserve">Accord sur les mesures sanitaires et phytosanitaires (en anglais SPS). </w:t>
      </w:r>
    </w:p>
    <w:p w:rsidR="002F3C78" w:rsidRPr="002F3C78" w:rsidRDefault="002F3C78" w:rsidP="002F3C78">
      <w:pPr>
        <w:numPr>
          <w:ilvl w:val="0"/>
          <w:numId w:val="1"/>
        </w:numPr>
        <w:contextualSpacing/>
        <w:jc w:val="both"/>
        <w:rPr>
          <w:rFonts w:ascii="Times New Roman" w:eastAsia="Calibri" w:hAnsi="Times New Roman" w:cs="Times New Roman"/>
          <w:sz w:val="24"/>
          <w:szCs w:val="24"/>
          <w:lang w:val="fr-FR"/>
        </w:rPr>
      </w:pPr>
      <w:r w:rsidRPr="002F3C78">
        <w:rPr>
          <w:rFonts w:ascii="Times New Roman" w:eastAsia="Calibri" w:hAnsi="Times New Roman" w:cs="Times New Roman"/>
          <w:sz w:val="24"/>
          <w:szCs w:val="24"/>
          <w:lang w:val="fr-FR"/>
        </w:rPr>
        <w:t xml:space="preserve">Accord sur les aspects des droits de propriété intellectuelle liés au commerce (ADPIC, en anglais TRIPS). </w:t>
      </w:r>
    </w:p>
    <w:p w:rsidR="002F3C78" w:rsidRPr="002F3C78" w:rsidRDefault="002F3C78" w:rsidP="002F3C78">
      <w:pPr>
        <w:numPr>
          <w:ilvl w:val="0"/>
          <w:numId w:val="1"/>
        </w:numPr>
        <w:contextualSpacing/>
        <w:jc w:val="both"/>
        <w:rPr>
          <w:rFonts w:ascii="Times New Roman" w:eastAsia="Calibri" w:hAnsi="Times New Roman" w:cs="Times New Roman"/>
          <w:sz w:val="24"/>
          <w:szCs w:val="24"/>
          <w:lang w:val="fr-FR"/>
        </w:rPr>
      </w:pPr>
      <w:r w:rsidRPr="002F3C78">
        <w:rPr>
          <w:rFonts w:ascii="Times New Roman" w:eastAsia="Calibri" w:hAnsi="Times New Roman" w:cs="Times New Roman"/>
          <w:sz w:val="24"/>
          <w:szCs w:val="24"/>
          <w:lang w:val="fr-FR"/>
        </w:rPr>
        <w:t xml:space="preserve">Accord sur les mesures concernant l'investissement et liées au commerce (en anglais TRIMs). </w:t>
      </w:r>
    </w:p>
    <w:p w:rsidR="002F3C78" w:rsidRPr="002F3C78" w:rsidRDefault="002F3C78" w:rsidP="002F3C78">
      <w:pPr>
        <w:numPr>
          <w:ilvl w:val="0"/>
          <w:numId w:val="1"/>
        </w:numPr>
        <w:contextualSpacing/>
        <w:jc w:val="both"/>
        <w:rPr>
          <w:rFonts w:ascii="Times New Roman" w:eastAsia="Calibri" w:hAnsi="Times New Roman" w:cs="Times New Roman"/>
          <w:b/>
          <w:i/>
          <w:sz w:val="24"/>
          <w:szCs w:val="24"/>
          <w:lang w:val="fr-FR"/>
        </w:rPr>
      </w:pPr>
      <w:r w:rsidRPr="002F3C78">
        <w:rPr>
          <w:rFonts w:ascii="Times New Roman" w:eastAsia="Calibri" w:hAnsi="Times New Roman" w:cs="Times New Roman"/>
          <w:sz w:val="24"/>
          <w:szCs w:val="24"/>
          <w:lang w:val="fr-FR"/>
        </w:rPr>
        <w:t>Accord sur les obstacles techniques liés au commerce (en anglais TBT).</w:t>
      </w:r>
    </w:p>
    <w:p w:rsidR="002F3C78" w:rsidRPr="002F3C78" w:rsidRDefault="002F3C78" w:rsidP="002F3C78">
      <w:pPr>
        <w:jc w:val="both"/>
        <w:rPr>
          <w:rFonts w:ascii="Times New Roman" w:eastAsia="Calibri" w:hAnsi="Times New Roman" w:cs="Times New Roman"/>
          <w:b/>
          <w:i/>
          <w:sz w:val="24"/>
          <w:szCs w:val="24"/>
          <w:lang w:val="fr-FR"/>
        </w:rPr>
      </w:pPr>
    </w:p>
    <w:p w:rsidR="002F3C78" w:rsidRPr="002F3C78" w:rsidRDefault="002F3C78" w:rsidP="002F3C78">
      <w:pPr>
        <w:jc w:val="both"/>
        <w:rPr>
          <w:rFonts w:ascii="Times New Roman" w:eastAsia="Calibri" w:hAnsi="Times New Roman" w:cs="Times New Roman"/>
          <w:b/>
          <w:sz w:val="24"/>
          <w:szCs w:val="24"/>
          <w:lang w:val="fr-FR"/>
        </w:rPr>
      </w:pPr>
      <w:r w:rsidRPr="002F3C78">
        <w:rPr>
          <w:rFonts w:ascii="Times New Roman" w:eastAsia="Calibri" w:hAnsi="Times New Roman" w:cs="Times New Roman"/>
          <w:b/>
          <w:sz w:val="24"/>
          <w:szCs w:val="24"/>
          <w:lang w:val="fr-FR"/>
        </w:rPr>
        <w:t xml:space="preserve">Répondez aux questions: </w:t>
      </w:r>
    </w:p>
    <w:p w:rsidR="002F3C78" w:rsidRPr="002F3C78" w:rsidRDefault="002F3C78" w:rsidP="002F3C78">
      <w:pPr>
        <w:jc w:val="both"/>
        <w:rPr>
          <w:rFonts w:ascii="Times New Roman" w:eastAsia="Calibri" w:hAnsi="Times New Roman" w:cs="Times New Roman"/>
          <w:sz w:val="24"/>
          <w:szCs w:val="24"/>
          <w:lang w:val="fr-FR"/>
        </w:rPr>
      </w:pPr>
      <w:r w:rsidRPr="002F3C78">
        <w:rPr>
          <w:rFonts w:ascii="Times New Roman" w:eastAsia="Calibri" w:hAnsi="Times New Roman" w:cs="Times New Roman"/>
          <w:sz w:val="24"/>
          <w:szCs w:val="24"/>
          <w:lang w:val="fr-FR"/>
        </w:rPr>
        <w:t xml:space="preserve">1. Comment se présente l’OMC? </w:t>
      </w:r>
    </w:p>
    <w:p w:rsidR="002F3C78" w:rsidRPr="002F3C78" w:rsidRDefault="002F3C78" w:rsidP="002F3C78">
      <w:pPr>
        <w:jc w:val="both"/>
        <w:rPr>
          <w:rFonts w:ascii="Times New Roman" w:eastAsia="Calibri" w:hAnsi="Times New Roman" w:cs="Times New Roman"/>
          <w:sz w:val="24"/>
          <w:szCs w:val="24"/>
          <w:lang w:val="fr-FR"/>
        </w:rPr>
      </w:pPr>
      <w:r w:rsidRPr="002F3C78">
        <w:rPr>
          <w:rFonts w:ascii="Times New Roman" w:eastAsia="Calibri" w:hAnsi="Times New Roman" w:cs="Times New Roman"/>
          <w:sz w:val="24"/>
          <w:szCs w:val="24"/>
          <w:lang w:val="fr-FR"/>
        </w:rPr>
        <w:t xml:space="preserve">2. Quels accords se trouvent au Coeur de l’organisation et à quoi consistent leur but? </w:t>
      </w:r>
    </w:p>
    <w:p w:rsidR="002F3C78" w:rsidRPr="002F3C78" w:rsidRDefault="002F3C78" w:rsidP="002F3C78">
      <w:pPr>
        <w:jc w:val="both"/>
        <w:rPr>
          <w:rFonts w:ascii="Times New Roman" w:eastAsia="Calibri" w:hAnsi="Times New Roman" w:cs="Times New Roman"/>
          <w:sz w:val="24"/>
          <w:szCs w:val="24"/>
          <w:lang w:val="fr-FR"/>
        </w:rPr>
      </w:pPr>
      <w:r w:rsidRPr="002F3C78">
        <w:rPr>
          <w:rFonts w:ascii="Times New Roman" w:eastAsia="Calibri" w:hAnsi="Times New Roman" w:cs="Times New Roman"/>
          <w:sz w:val="24"/>
          <w:szCs w:val="24"/>
          <w:lang w:val="fr-FR"/>
        </w:rPr>
        <w:t xml:space="preserve">3. Qui fait partie de l’OMC et qu’est-ce que caractérise les membres? </w:t>
      </w:r>
    </w:p>
    <w:p w:rsidR="002F3C78" w:rsidRPr="002F3C78" w:rsidRDefault="002F3C78" w:rsidP="002F3C78">
      <w:pPr>
        <w:jc w:val="both"/>
        <w:rPr>
          <w:rFonts w:ascii="Times New Roman" w:eastAsia="Calibri" w:hAnsi="Times New Roman" w:cs="Times New Roman"/>
          <w:sz w:val="24"/>
          <w:szCs w:val="24"/>
          <w:lang w:val="fr-FR"/>
        </w:rPr>
      </w:pPr>
      <w:r w:rsidRPr="002F3C78">
        <w:rPr>
          <w:rFonts w:ascii="Times New Roman" w:eastAsia="Calibri" w:hAnsi="Times New Roman" w:cs="Times New Roman"/>
          <w:sz w:val="24"/>
          <w:szCs w:val="24"/>
          <w:lang w:val="fr-FR"/>
        </w:rPr>
        <w:t xml:space="preserve">4. Quand est née l’OMC? </w:t>
      </w:r>
    </w:p>
    <w:p w:rsidR="002F3C78" w:rsidRPr="002F3C78" w:rsidRDefault="002F3C78" w:rsidP="002F3C78">
      <w:pPr>
        <w:jc w:val="both"/>
        <w:rPr>
          <w:rFonts w:ascii="Times New Roman" w:eastAsia="Calibri" w:hAnsi="Times New Roman" w:cs="Times New Roman"/>
          <w:sz w:val="24"/>
          <w:szCs w:val="24"/>
          <w:lang w:val="fr-FR"/>
        </w:rPr>
      </w:pPr>
      <w:r w:rsidRPr="002F3C78">
        <w:rPr>
          <w:rFonts w:ascii="Times New Roman" w:eastAsia="Calibri" w:hAnsi="Times New Roman" w:cs="Times New Roman"/>
          <w:sz w:val="24"/>
          <w:szCs w:val="24"/>
          <w:lang w:val="fr-FR"/>
        </w:rPr>
        <w:t xml:space="preserve">5. Comment GATT a-t-il évoluée au fil des ans? </w:t>
      </w:r>
    </w:p>
    <w:p w:rsidR="002F3C78" w:rsidRPr="002F3C78" w:rsidRDefault="002F3C78" w:rsidP="002F3C78">
      <w:pPr>
        <w:jc w:val="both"/>
        <w:rPr>
          <w:rFonts w:ascii="Times New Roman" w:eastAsia="Calibri" w:hAnsi="Times New Roman" w:cs="Times New Roman"/>
          <w:sz w:val="24"/>
          <w:szCs w:val="24"/>
          <w:lang w:val="fr-FR"/>
        </w:rPr>
      </w:pPr>
      <w:r w:rsidRPr="002F3C78">
        <w:rPr>
          <w:rFonts w:ascii="Times New Roman" w:eastAsia="Calibri" w:hAnsi="Times New Roman" w:cs="Times New Roman"/>
          <w:sz w:val="24"/>
          <w:szCs w:val="24"/>
          <w:lang w:val="fr-FR"/>
        </w:rPr>
        <w:t xml:space="preserve">6. Par quelle decision historique a été marqué le sommet de Cancun de 2003? </w:t>
      </w:r>
    </w:p>
    <w:p w:rsidR="002F3C78" w:rsidRPr="002F3C78" w:rsidRDefault="002F3C78" w:rsidP="002F3C78">
      <w:pPr>
        <w:jc w:val="both"/>
        <w:rPr>
          <w:rFonts w:ascii="Times New Roman" w:eastAsia="Calibri" w:hAnsi="Times New Roman" w:cs="Times New Roman"/>
          <w:sz w:val="24"/>
          <w:szCs w:val="24"/>
          <w:lang w:val="fr-FR"/>
        </w:rPr>
      </w:pPr>
      <w:r w:rsidRPr="002F3C78">
        <w:rPr>
          <w:rFonts w:ascii="Times New Roman" w:eastAsia="Calibri" w:hAnsi="Times New Roman" w:cs="Times New Roman"/>
          <w:sz w:val="24"/>
          <w:szCs w:val="24"/>
          <w:lang w:val="fr-FR"/>
        </w:rPr>
        <w:t>7. Quelles sont les dates des sommets de l’OMC et quelles décisions ont été prises au cours des sommets?</w:t>
      </w:r>
    </w:p>
    <w:p w:rsidR="002F3C78" w:rsidRPr="002F3C78" w:rsidRDefault="002F3C78" w:rsidP="002F3C78">
      <w:pPr>
        <w:jc w:val="both"/>
        <w:rPr>
          <w:rFonts w:ascii="Times New Roman" w:eastAsia="Calibri" w:hAnsi="Times New Roman" w:cs="Times New Roman"/>
          <w:sz w:val="24"/>
          <w:szCs w:val="24"/>
          <w:lang w:val="fr-FR"/>
        </w:rPr>
      </w:pPr>
    </w:p>
    <w:p w:rsidR="0098079A" w:rsidRPr="002F3C78" w:rsidRDefault="0098079A">
      <w:pPr>
        <w:rPr>
          <w:lang w:val="fr-FR"/>
        </w:rPr>
      </w:pPr>
      <w:bookmarkStart w:id="0" w:name="_GoBack"/>
      <w:bookmarkEnd w:id="0"/>
    </w:p>
    <w:sectPr w:rsidR="0098079A" w:rsidRPr="002F3C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1304"/>
    <w:multiLevelType w:val="hybridMultilevel"/>
    <w:tmpl w:val="E528C330"/>
    <w:lvl w:ilvl="0" w:tplc="C8564322">
      <w:start w:val="1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86"/>
    <w:rsid w:val="002F3C78"/>
    <w:rsid w:val="008D54C8"/>
    <w:rsid w:val="0098079A"/>
    <w:rsid w:val="00BB6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5B5E5-45F4-4881-9614-A554D594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2020-09-27T18:47:00Z</dcterms:created>
  <dcterms:modified xsi:type="dcterms:W3CDTF">2020-09-27T18:47:00Z</dcterms:modified>
</cp:coreProperties>
</file>